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57" w:rsidRDefault="002F1657" w:rsidP="002F1657">
      <w:pPr>
        <w:rPr>
          <w:b/>
          <w:sz w:val="28"/>
          <w:szCs w:val="28"/>
          <w:u w:val="single"/>
        </w:rPr>
      </w:pPr>
    </w:p>
    <w:p w:rsidR="002F1657" w:rsidRDefault="002F1657" w:rsidP="002F1657">
      <w:pPr>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jc w:val="center"/>
        <w:rPr>
          <w:b/>
          <w:sz w:val="36"/>
          <w:szCs w:val="28"/>
          <w:u w:val="single"/>
        </w:rPr>
      </w:pPr>
      <w:r>
        <w:rPr>
          <w:noProof/>
          <w:lang w:eastAsia="fr-FR"/>
        </w:rPr>
        <w:drawing>
          <wp:anchor distT="0" distB="0" distL="114300" distR="114300" simplePos="0" relativeHeight="251660288" behindDoc="0" locked="0" layoutInCell="1" allowOverlap="1" wp14:anchorId="3883B659" wp14:editId="2FF73C31">
            <wp:simplePos x="0" y="0"/>
            <wp:positionH relativeFrom="column">
              <wp:posOffset>190500</wp:posOffset>
            </wp:positionH>
            <wp:positionV relativeFrom="paragraph">
              <wp:posOffset>247650</wp:posOffset>
            </wp:positionV>
            <wp:extent cx="673100" cy="6477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647700"/>
                    </a:xfrm>
                    <a:prstGeom prst="rect">
                      <a:avLst/>
                    </a:prstGeom>
                    <a:noFill/>
                  </pic:spPr>
                </pic:pic>
              </a:graphicData>
            </a:graphic>
            <wp14:sizeRelH relativeFrom="margin">
              <wp14:pctWidth>0</wp14:pctWidth>
            </wp14:sizeRelH>
            <wp14:sizeRelV relativeFrom="margin">
              <wp14:pctHeight>0</wp14:pctHeight>
            </wp14:sizeRelV>
          </wp:anchor>
        </w:drawing>
      </w:r>
      <w:r>
        <w:rPr>
          <w:b/>
          <w:sz w:val="36"/>
          <w:szCs w:val="28"/>
          <w:u w:val="single"/>
        </w:rPr>
        <w:t xml:space="preserve">FORMATION EN POSTUROLOGIE PRATIQUE </w:t>
      </w:r>
    </w:p>
    <w:p w:rsidR="002F1657" w:rsidRDefault="002F1657" w:rsidP="002F1657">
      <w:pPr>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jc w:val="center"/>
        <w:rPr>
          <w:b/>
          <w:i/>
          <w:sz w:val="36"/>
          <w:szCs w:val="28"/>
          <w:u w:val="single"/>
        </w:rPr>
      </w:pPr>
      <w:r>
        <w:rPr>
          <w:i/>
          <w:sz w:val="36"/>
          <w:szCs w:val="28"/>
          <w:u w:val="single"/>
        </w:rPr>
        <w:t xml:space="preserve">LYON </w:t>
      </w:r>
      <w:r>
        <w:rPr>
          <w:i/>
          <w:color w:val="FF0000"/>
          <w:sz w:val="36"/>
          <w:szCs w:val="28"/>
          <w:u w:val="single"/>
        </w:rPr>
        <w:t xml:space="preserve">– DIMANCHE </w:t>
      </w:r>
      <w:r>
        <w:rPr>
          <w:i/>
          <w:color w:val="FF0000"/>
          <w:sz w:val="36"/>
          <w:szCs w:val="28"/>
          <w:u w:val="single"/>
        </w:rPr>
        <w:t>14</w:t>
      </w:r>
      <w:r>
        <w:rPr>
          <w:i/>
          <w:color w:val="FF0000"/>
          <w:sz w:val="36"/>
          <w:szCs w:val="28"/>
          <w:u w:val="single"/>
        </w:rPr>
        <w:t xml:space="preserve"> ET LUNDI </w:t>
      </w:r>
      <w:r>
        <w:rPr>
          <w:i/>
          <w:color w:val="FF0000"/>
          <w:sz w:val="36"/>
          <w:szCs w:val="28"/>
          <w:u w:val="single"/>
        </w:rPr>
        <w:t xml:space="preserve">15 JUIN </w:t>
      </w:r>
      <w:r>
        <w:rPr>
          <w:i/>
          <w:color w:val="FF0000"/>
          <w:sz w:val="36"/>
          <w:szCs w:val="28"/>
          <w:u w:val="single"/>
        </w:rPr>
        <w:t xml:space="preserve"> 2026</w:t>
      </w:r>
    </w:p>
    <w:p w:rsidR="002F1657" w:rsidRDefault="002F1657" w:rsidP="002F1657">
      <w:pPr>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jc w:val="center"/>
        <w:rPr>
          <w:b/>
          <w:sz w:val="28"/>
          <w:szCs w:val="28"/>
          <w:u w:val="single"/>
        </w:rPr>
      </w:pPr>
      <w:proofErr w:type="gramStart"/>
      <w:r>
        <w:rPr>
          <w:b/>
          <w:color w:val="4F6228" w:themeColor="accent3" w:themeShade="80"/>
          <w:sz w:val="36"/>
          <w:szCs w:val="28"/>
          <w:u w:val="single"/>
        </w:rPr>
        <w:t>www</w:t>
      </w:r>
      <w:proofErr w:type="gramEnd"/>
      <w:r>
        <w:rPr>
          <w:b/>
          <w:color w:val="4F6228" w:themeColor="accent3" w:themeShade="80"/>
          <w:sz w:val="36"/>
          <w:szCs w:val="28"/>
          <w:u w:val="single"/>
        </w:rPr>
        <w:t>. association-passer.org</w:t>
      </w:r>
    </w:p>
    <w:p w:rsidR="002F1657" w:rsidRDefault="002F1657" w:rsidP="002F1657">
      <w:pPr>
        <w:jc w:val="center"/>
        <w:rPr>
          <w:b/>
          <w:color w:val="FF0000"/>
          <w:sz w:val="28"/>
          <w:szCs w:val="28"/>
        </w:rPr>
      </w:pPr>
      <w:r>
        <w:rPr>
          <w:b/>
          <w:color w:val="FF0000"/>
          <w:sz w:val="28"/>
          <w:szCs w:val="28"/>
        </w:rPr>
        <w:t xml:space="preserve">NIVEAU 1 : pluridisciplinaire </w:t>
      </w:r>
    </w:p>
    <w:p w:rsidR="002F1657" w:rsidRDefault="002F1657" w:rsidP="002F1657">
      <w:pPr>
        <w:jc w:val="center"/>
        <w:rPr>
          <w:color w:val="FF0000"/>
          <w:sz w:val="28"/>
          <w:szCs w:val="28"/>
        </w:rPr>
      </w:pPr>
      <w:r>
        <w:rPr>
          <w:color w:val="FF0000"/>
          <w:sz w:val="28"/>
          <w:szCs w:val="28"/>
        </w:rPr>
        <w:t>2</w:t>
      </w:r>
      <w:r>
        <w:rPr>
          <w:b/>
          <w:color w:val="FF0000"/>
          <w:sz w:val="28"/>
          <w:szCs w:val="28"/>
        </w:rPr>
        <w:t xml:space="preserve"> </w:t>
      </w:r>
      <w:r>
        <w:rPr>
          <w:color w:val="FF0000"/>
          <w:sz w:val="28"/>
          <w:szCs w:val="28"/>
        </w:rPr>
        <w:t>JOURNEES INDISSOCIABLES</w:t>
      </w:r>
    </w:p>
    <w:p w:rsidR="002F1657" w:rsidRDefault="002F1657" w:rsidP="002F1657">
      <w:pPr>
        <w:jc w:val="center"/>
        <w:rPr>
          <w:color w:val="FF0000"/>
          <w:sz w:val="28"/>
          <w:szCs w:val="28"/>
        </w:rPr>
      </w:pPr>
      <w:r>
        <w:rPr>
          <w:color w:val="FF0000"/>
          <w:sz w:val="28"/>
          <w:szCs w:val="28"/>
        </w:rPr>
        <w:t>Enseignement : tronc commun puis par spécialité</w:t>
      </w:r>
      <w:r>
        <w:rPr>
          <w:color w:val="FF0000"/>
          <w:sz w:val="28"/>
          <w:szCs w:val="28"/>
        </w:rPr>
        <w:t xml:space="preserve"> en fonction des inscrits</w:t>
      </w:r>
    </w:p>
    <w:p w:rsidR="002F1657" w:rsidRDefault="002F1657" w:rsidP="002F1657">
      <w:pPr>
        <w:jc w:val="center"/>
        <w:rPr>
          <w:b/>
          <w:sz w:val="28"/>
          <w:szCs w:val="28"/>
          <w:u w:val="single"/>
        </w:rPr>
      </w:pPr>
      <w:r>
        <w:rPr>
          <w:b/>
          <w:sz w:val="28"/>
          <w:szCs w:val="28"/>
          <w:u w:val="single"/>
        </w:rPr>
        <w:t>Bases théoriques, tests cliniques, démonstrations pratiques</w:t>
      </w:r>
    </w:p>
    <w:p w:rsidR="002F1657" w:rsidRDefault="002F1657" w:rsidP="002F1657"/>
    <w:p w:rsidR="002F1657" w:rsidRDefault="002F1657" w:rsidP="002F1657">
      <w:pPr>
        <w:spacing w:after="120"/>
        <w:jc w:val="both"/>
        <w:rPr>
          <w:b/>
          <w:sz w:val="28"/>
          <w:szCs w:val="28"/>
        </w:rPr>
      </w:pPr>
      <w:r>
        <w:rPr>
          <w:sz w:val="28"/>
          <w:szCs w:val="28"/>
        </w:rPr>
        <w:t xml:space="preserve">Cette formation dirigée par le Dr </w:t>
      </w:r>
      <w:proofErr w:type="spellStart"/>
      <w:r>
        <w:rPr>
          <w:sz w:val="28"/>
          <w:szCs w:val="28"/>
        </w:rPr>
        <w:t>Bonfillon</w:t>
      </w:r>
      <w:proofErr w:type="spellEnd"/>
      <w:r>
        <w:rPr>
          <w:sz w:val="28"/>
          <w:szCs w:val="28"/>
        </w:rPr>
        <w:t xml:space="preserve"> Christian et le Dr </w:t>
      </w:r>
      <w:proofErr w:type="spellStart"/>
      <w:r>
        <w:rPr>
          <w:sz w:val="28"/>
          <w:szCs w:val="28"/>
        </w:rPr>
        <w:t>Gilg</w:t>
      </w:r>
      <w:proofErr w:type="spellEnd"/>
      <w:r>
        <w:rPr>
          <w:sz w:val="28"/>
          <w:szCs w:val="28"/>
        </w:rPr>
        <w:t xml:space="preserve"> Alain Nicolas (en collaboration avec à d’autres professionnels qui interviendront en fonction des spécialités) d’après l’école portugaise du Dr Da Silva, est essentiellement orientée vers la pratique et </w:t>
      </w:r>
      <w:r>
        <w:rPr>
          <w:b/>
          <w:sz w:val="28"/>
          <w:szCs w:val="28"/>
        </w:rPr>
        <w:t>s’adresse à tous les médecins, kinésithérapeutes, podologues, ostéopathes, dentistes, orthodontistes, préparateurs physiques, opticiens, praticiens de santé…</w:t>
      </w:r>
    </w:p>
    <w:p w:rsidR="002F1657" w:rsidRDefault="002F1657" w:rsidP="002F1657">
      <w:pPr>
        <w:spacing w:after="120"/>
        <w:jc w:val="both"/>
        <w:rPr>
          <w:b/>
          <w:sz w:val="28"/>
          <w:szCs w:val="28"/>
        </w:rPr>
      </w:pPr>
    </w:p>
    <w:p w:rsidR="002F1657" w:rsidRDefault="002F1657" w:rsidP="002F1657">
      <w:pPr>
        <w:spacing w:after="120"/>
        <w:jc w:val="both"/>
        <w:rPr>
          <w:b/>
          <w:sz w:val="28"/>
          <w:szCs w:val="28"/>
        </w:rPr>
      </w:pPr>
      <w:r>
        <w:rPr>
          <w:b/>
          <w:sz w:val="28"/>
          <w:szCs w:val="28"/>
        </w:rPr>
        <w:t>OBJECTIFS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F1657" w:rsidRDefault="002F1657" w:rsidP="002F1657">
      <w:pPr>
        <w:jc w:val="both"/>
        <w:rPr>
          <w:sz w:val="28"/>
          <w:szCs w:val="28"/>
        </w:rPr>
      </w:pPr>
      <w:r>
        <w:rPr>
          <w:sz w:val="28"/>
          <w:szCs w:val="28"/>
        </w:rPr>
        <w:t xml:space="preserve">Formation simple et pratique afin d’aller plus loin dans la connaissance des troubles proprioceptifs (pluridisciplinarité) </w:t>
      </w:r>
    </w:p>
    <w:p w:rsidR="002F1657" w:rsidRDefault="002F1657" w:rsidP="002F1657">
      <w:pPr>
        <w:spacing w:after="120"/>
        <w:jc w:val="both"/>
        <w:rPr>
          <w:sz w:val="28"/>
          <w:szCs w:val="28"/>
        </w:rPr>
      </w:pPr>
      <w:r>
        <w:rPr>
          <w:sz w:val="28"/>
          <w:szCs w:val="28"/>
        </w:rPr>
        <w:t>*Comprendre le système postural et l’impact du dysfonctionnement des différents capteurs sur la reprogrammation. Rechercher et déterminer les perturbateurs par des tests cliniques</w:t>
      </w:r>
    </w:p>
    <w:p w:rsidR="002F1657" w:rsidRDefault="002F1657" w:rsidP="002F1657">
      <w:pPr>
        <w:spacing w:after="0"/>
        <w:jc w:val="both"/>
        <w:rPr>
          <w:sz w:val="28"/>
          <w:szCs w:val="28"/>
        </w:rPr>
      </w:pPr>
    </w:p>
    <w:p w:rsidR="002F1657" w:rsidRDefault="002F1657" w:rsidP="002F1657">
      <w:pPr>
        <w:spacing w:after="0"/>
        <w:jc w:val="both"/>
        <w:rPr>
          <w:sz w:val="28"/>
          <w:szCs w:val="28"/>
        </w:rPr>
      </w:pPr>
      <w:r>
        <w:rPr>
          <w:noProof/>
          <w:lang w:eastAsia="fr-FR"/>
        </w:rPr>
        <w:drawing>
          <wp:anchor distT="0" distB="0" distL="114300" distR="114300" simplePos="0" relativeHeight="251661312" behindDoc="0" locked="0" layoutInCell="1" allowOverlap="1" wp14:anchorId="3ACCDEB2" wp14:editId="608823A9">
            <wp:simplePos x="0" y="0"/>
            <wp:positionH relativeFrom="column">
              <wp:posOffset>0</wp:posOffset>
            </wp:positionH>
            <wp:positionV relativeFrom="paragraph">
              <wp:posOffset>505460</wp:posOffset>
            </wp:positionV>
            <wp:extent cx="633095" cy="1410970"/>
            <wp:effectExtent l="0" t="0" r="0" b="0"/>
            <wp:wrapSquare wrapText="bothSides"/>
            <wp:docPr id="2" name="Image 16" descr="Description : C:\Users\Utilisateur\Desktop\symetrie la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Description : C:\Users\Utilisateur\Desktop\symetrie las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095" cy="1410970"/>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*Connaitre : *les fondamentaux théoriques et pratiques du SDP (syndrome de déficience posturale), la place du SDP dans les troubles posturaux (définition du trouble postural et SDP)</w:t>
      </w: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lastRenderedPageBreak/>
        <w:t>*Les différents capteurs impliqués dans le SDP et leur importance dans une notion de hiérarchisation qui nous est propre (œil, bouche, bassin, pied, digestif, cicatrices…) ainsi que leur expression aussi bien chez l’adulte (douleurs, vertiges,…)  que chez l’enfant (</w:t>
      </w:r>
      <w:proofErr w:type="spellStart"/>
      <w:r>
        <w:rPr>
          <w:sz w:val="28"/>
          <w:szCs w:val="28"/>
        </w:rPr>
        <w:t>dys</w:t>
      </w:r>
      <w:proofErr w:type="spellEnd"/>
      <w:r>
        <w:rPr>
          <w:sz w:val="28"/>
          <w:szCs w:val="28"/>
        </w:rPr>
        <w:t xml:space="preserve">…) </w:t>
      </w: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t>*Utiliser une terminologie commune pour développer un réseau de soins cohérent, en collaboration avec tous les professionnels afin de diffuser l’information et la connaissance du SDP.</w:t>
      </w:r>
    </w:p>
    <w:p w:rsidR="002F1657" w:rsidRDefault="002F1657" w:rsidP="002F1657">
      <w:pPr>
        <w:jc w:val="both"/>
        <w:rPr>
          <w:sz w:val="28"/>
          <w:szCs w:val="28"/>
        </w:rPr>
      </w:pPr>
    </w:p>
    <w:p w:rsidR="002F1657" w:rsidRDefault="002F1657" w:rsidP="002F1657">
      <w:pPr>
        <w:jc w:val="both"/>
        <w:rPr>
          <w:sz w:val="28"/>
          <w:szCs w:val="28"/>
        </w:rPr>
      </w:pPr>
      <w:r>
        <w:rPr>
          <w:sz w:val="28"/>
          <w:szCs w:val="28"/>
        </w:rPr>
        <w:t>*Vous familiariser avec les entrées posturales et vous poser les bonnes questions</w:t>
      </w:r>
    </w:p>
    <w:p w:rsidR="002F1657" w:rsidRDefault="002F1657" w:rsidP="002F1657">
      <w:pPr>
        <w:spacing w:after="120"/>
        <w:jc w:val="both"/>
        <w:rPr>
          <w:sz w:val="28"/>
          <w:szCs w:val="28"/>
        </w:rPr>
      </w:pPr>
      <w:r>
        <w:rPr>
          <w:sz w:val="28"/>
          <w:szCs w:val="28"/>
        </w:rPr>
        <w:t>*Connaitre les limites de sa pratique et tester l’efficacité d’une prise en charge par des tests adaptés à chaque spécialité.</w:t>
      </w:r>
    </w:p>
    <w:p w:rsidR="002F1657" w:rsidRDefault="002F1657" w:rsidP="002F1657">
      <w:pPr>
        <w:spacing w:after="0"/>
        <w:jc w:val="both"/>
        <w:rPr>
          <w:sz w:val="28"/>
          <w:szCs w:val="28"/>
        </w:rPr>
      </w:pPr>
      <w:r>
        <w:rPr>
          <w:b/>
          <w:sz w:val="28"/>
          <w:szCs w:val="28"/>
        </w:rPr>
        <w:t>La thérapie manuelle</w:t>
      </w:r>
      <w:r>
        <w:rPr>
          <w:sz w:val="28"/>
          <w:szCs w:val="28"/>
        </w:rPr>
        <w:t xml:space="preserve"> : </w:t>
      </w:r>
    </w:p>
    <w:p w:rsidR="002F1657" w:rsidRDefault="002F1657" w:rsidP="002F1657">
      <w:pPr>
        <w:pStyle w:val="Paragraphedeliste"/>
        <w:spacing w:after="120"/>
        <w:ind w:left="1440"/>
        <w:jc w:val="both"/>
        <w:rPr>
          <w:sz w:val="28"/>
          <w:szCs w:val="28"/>
        </w:rPr>
      </w:pPr>
      <w:r>
        <w:rPr>
          <w:sz w:val="28"/>
          <w:szCs w:val="28"/>
        </w:rPr>
        <w:t>-Besoin de voir l’ostéopathe</w:t>
      </w:r>
      <w:r>
        <w:rPr>
          <w:sz w:val="28"/>
          <w:szCs w:val="28"/>
        </w:rPr>
        <w:t>, le kiné… ?</w:t>
      </w:r>
      <w:bookmarkStart w:id="0" w:name="_GoBack"/>
      <w:bookmarkEnd w:id="0"/>
      <w:proofErr w:type="gramStart"/>
      <w:r>
        <w:rPr>
          <w:sz w:val="28"/>
          <w:szCs w:val="28"/>
        </w:rPr>
        <w:t>identifier</w:t>
      </w:r>
      <w:proofErr w:type="gramEnd"/>
      <w:r>
        <w:rPr>
          <w:sz w:val="28"/>
          <w:szCs w:val="28"/>
        </w:rPr>
        <w:t xml:space="preserve"> les limites du traitement, tester son efficacité + tests</w:t>
      </w:r>
    </w:p>
    <w:p w:rsidR="002F1657" w:rsidRDefault="002F1657" w:rsidP="002F1657">
      <w:pPr>
        <w:spacing w:after="0"/>
        <w:jc w:val="both"/>
        <w:rPr>
          <w:sz w:val="28"/>
          <w:szCs w:val="28"/>
        </w:rPr>
      </w:pPr>
      <w:r>
        <w:rPr>
          <w:b/>
          <w:sz w:val="28"/>
          <w:szCs w:val="28"/>
        </w:rPr>
        <w:t>La bouche</w:t>
      </w:r>
      <w:r>
        <w:rPr>
          <w:sz w:val="28"/>
          <w:szCs w:val="28"/>
        </w:rPr>
        <w:t>  …</w:t>
      </w:r>
    </w:p>
    <w:p w:rsidR="002F1657" w:rsidRDefault="002F1657" w:rsidP="002F1657">
      <w:pPr>
        <w:pStyle w:val="Paragraphedeliste"/>
        <w:ind w:left="1440"/>
        <w:jc w:val="both"/>
        <w:rPr>
          <w:sz w:val="28"/>
          <w:szCs w:val="28"/>
        </w:rPr>
      </w:pPr>
      <w:r>
        <w:rPr>
          <w:sz w:val="28"/>
          <w:szCs w:val="28"/>
        </w:rPr>
        <w:t xml:space="preserve">-Besoin de voir un dentiste ? </w:t>
      </w:r>
      <w:proofErr w:type="gramStart"/>
      <w:r>
        <w:rPr>
          <w:sz w:val="28"/>
          <w:szCs w:val="28"/>
        </w:rPr>
        <w:t>importance</w:t>
      </w:r>
      <w:proofErr w:type="gramEnd"/>
      <w:r>
        <w:rPr>
          <w:sz w:val="28"/>
          <w:szCs w:val="28"/>
        </w:rPr>
        <w:t xml:space="preserve"> du capteur cranio-mandibulaire… troubles de l’appareil </w:t>
      </w:r>
      <w:proofErr w:type="spellStart"/>
      <w:r>
        <w:rPr>
          <w:sz w:val="28"/>
          <w:szCs w:val="28"/>
        </w:rPr>
        <w:t>mandicateur</w:t>
      </w:r>
      <w:proofErr w:type="spellEnd"/>
      <w:r>
        <w:rPr>
          <w:sz w:val="28"/>
          <w:szCs w:val="28"/>
        </w:rPr>
        <w:t xml:space="preserve"> et leur répercussion sur la posture : la langue, la respiration, les ALPH, gouttières, … + tests</w:t>
      </w:r>
    </w:p>
    <w:p w:rsidR="002F1657" w:rsidRDefault="002F1657" w:rsidP="002F1657">
      <w:pPr>
        <w:spacing w:after="0"/>
        <w:jc w:val="both"/>
        <w:rPr>
          <w:sz w:val="28"/>
          <w:szCs w:val="28"/>
        </w:rPr>
      </w:pPr>
      <w:r>
        <w:rPr>
          <w:b/>
          <w:sz w:val="28"/>
          <w:szCs w:val="28"/>
        </w:rPr>
        <w:t>L’œil</w:t>
      </w:r>
      <w:r>
        <w:rPr>
          <w:sz w:val="28"/>
          <w:szCs w:val="28"/>
        </w:rPr>
        <w:t> : l’œil visuel, l’œil postural</w:t>
      </w:r>
      <w:r>
        <w:rPr>
          <w:sz w:val="28"/>
          <w:szCs w:val="28"/>
        </w:rPr>
        <w:tab/>
      </w:r>
      <w:r>
        <w:rPr>
          <w:sz w:val="28"/>
          <w:szCs w:val="28"/>
        </w:rPr>
        <w:tab/>
      </w:r>
      <w:r>
        <w:rPr>
          <w:sz w:val="28"/>
          <w:szCs w:val="28"/>
        </w:rPr>
        <w:tab/>
      </w:r>
      <w:r>
        <w:rPr>
          <w:sz w:val="28"/>
          <w:szCs w:val="28"/>
        </w:rPr>
        <w:tab/>
      </w:r>
    </w:p>
    <w:p w:rsidR="002F1657" w:rsidRDefault="002F1657" w:rsidP="002F1657">
      <w:pPr>
        <w:pStyle w:val="Paragraphedeliste"/>
        <w:numPr>
          <w:ilvl w:val="0"/>
          <w:numId w:val="1"/>
        </w:numPr>
        <w:ind w:left="1440"/>
        <w:jc w:val="both"/>
        <w:rPr>
          <w:sz w:val="28"/>
          <w:szCs w:val="28"/>
        </w:rPr>
      </w:pPr>
      <w:r>
        <w:rPr>
          <w:noProof/>
          <w:lang w:eastAsia="fr-FR"/>
        </w:rPr>
        <w:drawing>
          <wp:anchor distT="0" distB="0" distL="114300" distR="114300" simplePos="0" relativeHeight="251662336" behindDoc="0" locked="0" layoutInCell="1" allowOverlap="1" wp14:anchorId="61CCF1CB" wp14:editId="0E64EC10">
            <wp:simplePos x="0" y="0"/>
            <wp:positionH relativeFrom="column">
              <wp:posOffset>-63500</wp:posOffset>
            </wp:positionH>
            <wp:positionV relativeFrom="paragraph">
              <wp:posOffset>552450</wp:posOffset>
            </wp:positionV>
            <wp:extent cx="1410970" cy="633095"/>
            <wp:effectExtent l="0" t="0" r="0" b="0"/>
            <wp:wrapSquare wrapText="bothSides"/>
            <wp:docPr id="3" name="Image 12" descr="Description : C:\Users\Utilisateur\Desktop\lunettes d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Description : C:\Users\Utilisateur\Desktop\lunettes dy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970" cy="633095"/>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-Besoin de prismes ? lecture des ordonnances. Pour les</w:t>
      </w:r>
      <w:r>
        <w:rPr>
          <w:b/>
          <w:sz w:val="28"/>
          <w:szCs w:val="28"/>
        </w:rPr>
        <w:t xml:space="preserve">  </w:t>
      </w:r>
      <w:r>
        <w:rPr>
          <w:sz w:val="28"/>
          <w:szCs w:val="28"/>
        </w:rPr>
        <w:t xml:space="preserve">lunettes : l’importance des prérogatives de commande de verres, choix de montures, calculs spécifiques. En pratique : tests d’efficacité, tests d’évaluation du tonus musculaire en lien avec l’œil (test de convergence </w:t>
      </w:r>
      <w:proofErr w:type="spellStart"/>
      <w:r>
        <w:rPr>
          <w:sz w:val="28"/>
          <w:szCs w:val="28"/>
        </w:rPr>
        <w:t>podale</w:t>
      </w:r>
      <w:proofErr w:type="spellEnd"/>
      <w:r>
        <w:rPr>
          <w:sz w:val="28"/>
          <w:szCs w:val="28"/>
        </w:rPr>
        <w:t>), leur possible prescription par l’orthoptiste par délégation de tache…</w:t>
      </w:r>
    </w:p>
    <w:p w:rsidR="002F1657" w:rsidRDefault="002F1657" w:rsidP="002F1657">
      <w:pPr>
        <w:spacing w:after="0"/>
        <w:jc w:val="both"/>
        <w:rPr>
          <w:sz w:val="28"/>
          <w:szCs w:val="28"/>
        </w:rPr>
      </w:pPr>
      <w:r>
        <w:rPr>
          <w:b/>
          <w:sz w:val="28"/>
          <w:szCs w:val="28"/>
        </w:rPr>
        <w:t>Le pied</w:t>
      </w:r>
      <w:r>
        <w:rPr>
          <w:sz w:val="28"/>
          <w:szCs w:val="28"/>
        </w:rPr>
        <w:t xml:space="preserve"> : relation œil pied, effet de l’entrée </w:t>
      </w:r>
      <w:proofErr w:type="spellStart"/>
      <w:r>
        <w:rPr>
          <w:sz w:val="28"/>
          <w:szCs w:val="28"/>
        </w:rPr>
        <w:t>podale</w:t>
      </w:r>
      <w:proofErr w:type="spellEnd"/>
      <w:r>
        <w:rPr>
          <w:sz w:val="28"/>
          <w:szCs w:val="28"/>
        </w:rPr>
        <w:t xml:space="preserve"> sur le tonus musculaire et la tester</w:t>
      </w:r>
    </w:p>
    <w:p w:rsidR="002F1657" w:rsidRDefault="002F1657" w:rsidP="002F1657">
      <w:pPr>
        <w:pStyle w:val="Paragraphedeliste"/>
        <w:ind w:left="1440"/>
        <w:jc w:val="both"/>
        <w:rPr>
          <w:sz w:val="28"/>
          <w:szCs w:val="28"/>
        </w:rPr>
      </w:pPr>
      <w:r>
        <w:rPr>
          <w:sz w:val="28"/>
          <w:szCs w:val="28"/>
        </w:rPr>
        <w:t xml:space="preserve">-Besoin de semelles ? </w:t>
      </w:r>
      <w:proofErr w:type="gramStart"/>
      <w:r>
        <w:rPr>
          <w:sz w:val="28"/>
          <w:szCs w:val="28"/>
        </w:rPr>
        <w:t>spécificité</w:t>
      </w:r>
      <w:proofErr w:type="gramEnd"/>
      <w:r>
        <w:rPr>
          <w:sz w:val="28"/>
          <w:szCs w:val="28"/>
        </w:rPr>
        <w:t xml:space="preserve"> des semelles posturales…+ tests</w:t>
      </w:r>
    </w:p>
    <w:p w:rsidR="002F1657" w:rsidRPr="002F1657" w:rsidRDefault="002F1657" w:rsidP="002F1657">
      <w:pPr>
        <w:jc w:val="both"/>
        <w:rPr>
          <w:sz w:val="28"/>
          <w:szCs w:val="28"/>
        </w:rPr>
      </w:pPr>
      <w:r w:rsidRPr="002F1657">
        <w:rPr>
          <w:b/>
          <w:sz w:val="28"/>
          <w:szCs w:val="28"/>
        </w:rPr>
        <w:t>Les autres obstacles au traitement</w:t>
      </w:r>
      <w:r w:rsidRPr="002F1657">
        <w:rPr>
          <w:sz w:val="28"/>
          <w:szCs w:val="28"/>
        </w:rPr>
        <w:t> : cicatrices, émotions, symétrie, reflexes archaïques non maturés, points gâchettes, blocage …</w:t>
      </w:r>
    </w:p>
    <w:p w:rsidR="002F1657" w:rsidRDefault="002F1657" w:rsidP="002F1657">
      <w:pPr>
        <w:jc w:val="both"/>
        <w:rPr>
          <w:sz w:val="28"/>
          <w:szCs w:val="28"/>
        </w:rPr>
      </w:pPr>
      <w:r>
        <w:rPr>
          <w:b/>
          <w:sz w:val="28"/>
          <w:szCs w:val="28"/>
        </w:rPr>
        <w:lastRenderedPageBreak/>
        <w:t>Traitement postural et accompagnement</w:t>
      </w:r>
      <w:r>
        <w:rPr>
          <w:sz w:val="28"/>
          <w:szCs w:val="28"/>
        </w:rPr>
        <w:t> : prisme actif avec +/- correction optique, pupitre plan incliné, marche, respiration, prise en charge des blocages émotionnels, thérapie manuelle…</w:t>
      </w:r>
    </w:p>
    <w:p w:rsidR="002F1657" w:rsidRDefault="002F1657" w:rsidP="002F1657">
      <w:pPr>
        <w:spacing w:after="0"/>
        <w:jc w:val="both"/>
        <w:rPr>
          <w:sz w:val="28"/>
          <w:szCs w:val="28"/>
        </w:rPr>
      </w:pPr>
    </w:p>
    <w:p w:rsidR="002F1657" w:rsidRDefault="002F1657" w:rsidP="002F1657">
      <w:pPr>
        <w:spacing w:after="0"/>
        <w:jc w:val="both"/>
        <w:rPr>
          <w:b/>
          <w:sz w:val="28"/>
          <w:szCs w:val="28"/>
        </w:rPr>
      </w:pPr>
      <w:r>
        <w:rPr>
          <w:b/>
          <w:sz w:val="28"/>
          <w:szCs w:val="28"/>
        </w:rPr>
        <w:t xml:space="preserve">EN PRATIQUE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F1657" w:rsidRDefault="002F1657" w:rsidP="002F1657">
      <w:pPr>
        <w:spacing w:after="0"/>
        <w:jc w:val="both"/>
        <w:rPr>
          <w:sz w:val="28"/>
          <w:szCs w:val="28"/>
        </w:rPr>
      </w:pPr>
      <w:r>
        <w:rPr>
          <w:sz w:val="28"/>
          <w:szCs w:val="28"/>
        </w:rPr>
        <w:t xml:space="preserve">*Apprendre des tests cliniques simples et reproductibles et examens pour identifier le problème de </w:t>
      </w:r>
      <w:proofErr w:type="spellStart"/>
      <w:r>
        <w:rPr>
          <w:sz w:val="28"/>
          <w:szCs w:val="28"/>
        </w:rPr>
        <w:t>dysprorioception</w:t>
      </w:r>
      <w:proofErr w:type="spellEnd"/>
      <w:r>
        <w:rPr>
          <w:sz w:val="28"/>
          <w:szCs w:val="28"/>
        </w:rPr>
        <w:t xml:space="preserve"> et </w:t>
      </w:r>
      <w:r>
        <w:rPr>
          <w:sz w:val="28"/>
          <w:szCs w:val="28"/>
          <w:u w:val="single"/>
        </w:rPr>
        <w:t>optimiser</w:t>
      </w:r>
      <w:r>
        <w:rPr>
          <w:sz w:val="28"/>
          <w:szCs w:val="28"/>
        </w:rPr>
        <w:t xml:space="preserve"> la prise en charge du patient…</w:t>
      </w:r>
    </w:p>
    <w:p w:rsidR="002F1657" w:rsidRDefault="002F1657" w:rsidP="002F1657">
      <w:pPr>
        <w:spacing w:after="0"/>
        <w:jc w:val="both"/>
        <w:rPr>
          <w:sz w:val="28"/>
          <w:szCs w:val="28"/>
        </w:rPr>
      </w:pPr>
      <w:r>
        <w:rPr>
          <w:sz w:val="28"/>
          <w:szCs w:val="28"/>
        </w:rPr>
        <w:t xml:space="preserve">*Tests cliniques et reproductibles, en </w:t>
      </w:r>
      <w:proofErr w:type="spellStart"/>
      <w:r>
        <w:rPr>
          <w:sz w:val="28"/>
          <w:szCs w:val="28"/>
          <w:u w:val="single"/>
        </w:rPr>
        <w:t>binome</w:t>
      </w:r>
      <w:proofErr w:type="spellEnd"/>
      <w:r>
        <w:rPr>
          <w:sz w:val="28"/>
          <w:szCs w:val="28"/>
        </w:rPr>
        <w:t>, permettant une analyse, une évaluation des dysfonctionnements des différents capteurs et une optimisation de la pratique.</w:t>
      </w:r>
    </w:p>
    <w:p w:rsidR="002F1657" w:rsidRDefault="002F1657" w:rsidP="002F1657">
      <w:pPr>
        <w:spacing w:after="0"/>
        <w:jc w:val="both"/>
        <w:rPr>
          <w:sz w:val="28"/>
          <w:szCs w:val="28"/>
        </w:rPr>
      </w:pPr>
      <w:r>
        <w:rPr>
          <w:sz w:val="28"/>
          <w:szCs w:val="28"/>
        </w:rPr>
        <w:t>*Analyse des tests et leur application pratique</w:t>
      </w:r>
    </w:p>
    <w:p w:rsidR="002F1657" w:rsidRDefault="002F1657" w:rsidP="002F1657">
      <w:pPr>
        <w:spacing w:after="0"/>
        <w:jc w:val="both"/>
        <w:rPr>
          <w:sz w:val="28"/>
          <w:szCs w:val="28"/>
        </w:rPr>
      </w:pPr>
      <w:r>
        <w:rPr>
          <w:noProof/>
          <w:lang w:eastAsia="fr-FR"/>
        </w:rPr>
        <w:drawing>
          <wp:anchor distT="0" distB="0" distL="114300" distR="114300" simplePos="0" relativeHeight="251663360" behindDoc="0" locked="0" layoutInCell="1" allowOverlap="1" wp14:anchorId="50C0EA31" wp14:editId="13E5457A">
            <wp:simplePos x="0" y="0"/>
            <wp:positionH relativeFrom="column">
              <wp:posOffset>0</wp:posOffset>
            </wp:positionH>
            <wp:positionV relativeFrom="paragraph">
              <wp:posOffset>14605</wp:posOffset>
            </wp:positionV>
            <wp:extent cx="1094105" cy="1040130"/>
            <wp:effectExtent l="0" t="0" r="0" b="7620"/>
            <wp:wrapSquare wrapText="bothSides"/>
            <wp:docPr id="4" name="Image 14" descr="Description : C:\Users\Utilisateur\Desktop\equilibre-tonique-postural-e1698400789822-300x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Utilisateur\Desktop\equilibre-tonique-postural-e1698400789822-300x28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4105" cy="1040130"/>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 xml:space="preserve">*Réaliser un examen postural et se familiariser avec les différents tests dans vos pratiques (test </w:t>
      </w:r>
      <w:proofErr w:type="spellStart"/>
      <w:r>
        <w:rPr>
          <w:sz w:val="28"/>
          <w:szCs w:val="28"/>
        </w:rPr>
        <w:t>Romberg</w:t>
      </w:r>
      <w:proofErr w:type="spellEnd"/>
      <w:r>
        <w:rPr>
          <w:sz w:val="28"/>
          <w:szCs w:val="28"/>
        </w:rPr>
        <w:t xml:space="preserve">, convergence </w:t>
      </w:r>
      <w:proofErr w:type="spellStart"/>
      <w:r>
        <w:rPr>
          <w:sz w:val="28"/>
          <w:szCs w:val="28"/>
        </w:rPr>
        <w:t>podale</w:t>
      </w:r>
      <w:proofErr w:type="spellEnd"/>
      <w:r>
        <w:rPr>
          <w:sz w:val="28"/>
          <w:szCs w:val="28"/>
        </w:rPr>
        <w:t>…)</w:t>
      </w:r>
    </w:p>
    <w:p w:rsidR="002F1657" w:rsidRDefault="002F1657" w:rsidP="002F1657">
      <w:pPr>
        <w:spacing w:after="0"/>
        <w:jc w:val="both"/>
        <w:rPr>
          <w:sz w:val="28"/>
          <w:szCs w:val="28"/>
        </w:rPr>
      </w:pPr>
      <w:r>
        <w:rPr>
          <w:sz w:val="28"/>
          <w:szCs w:val="28"/>
        </w:rPr>
        <w:t xml:space="preserve">-Le sevrage </w:t>
      </w:r>
      <w:proofErr w:type="spellStart"/>
      <w:r>
        <w:rPr>
          <w:sz w:val="28"/>
          <w:szCs w:val="28"/>
        </w:rPr>
        <w:t>orthétique</w:t>
      </w:r>
      <w:proofErr w:type="spellEnd"/>
      <w:r>
        <w:rPr>
          <w:sz w:val="28"/>
          <w:szCs w:val="28"/>
        </w:rPr>
        <w:t xml:space="preserve"> : à quel moment ? </w:t>
      </w:r>
      <w:proofErr w:type="gramStart"/>
      <w:r>
        <w:rPr>
          <w:sz w:val="28"/>
          <w:szCs w:val="28"/>
        </w:rPr>
        <w:t>par</w:t>
      </w:r>
      <w:proofErr w:type="gramEnd"/>
      <w:r>
        <w:rPr>
          <w:sz w:val="28"/>
          <w:szCs w:val="28"/>
        </w:rPr>
        <w:t xml:space="preserve"> qui ?  </w:t>
      </w:r>
      <w:proofErr w:type="gramStart"/>
      <w:r>
        <w:rPr>
          <w:sz w:val="28"/>
          <w:szCs w:val="28"/>
        </w:rPr>
        <w:t>pourquoi</w:t>
      </w:r>
      <w:proofErr w:type="gramEnd"/>
      <w:r>
        <w:rPr>
          <w:sz w:val="28"/>
          <w:szCs w:val="28"/>
        </w:rPr>
        <w:t> ?</w:t>
      </w: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tab/>
      </w:r>
      <w:r>
        <w:rPr>
          <w:sz w:val="28"/>
          <w:szCs w:val="28"/>
        </w:rPr>
        <w:tab/>
      </w:r>
      <w:r>
        <w:rPr>
          <w:sz w:val="28"/>
          <w:szCs w:val="28"/>
        </w:rPr>
        <w:tab/>
      </w: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br w:type="page"/>
      </w:r>
    </w:p>
    <w:p w:rsidR="002F1657" w:rsidRDefault="002F1657" w:rsidP="002F1657">
      <w:pPr>
        <w:jc w:val="center"/>
        <w:rPr>
          <w:color w:val="FF0000"/>
          <w:sz w:val="28"/>
          <w:szCs w:val="28"/>
          <w:u w:val="single"/>
        </w:rPr>
      </w:pPr>
      <w:r>
        <w:rPr>
          <w:color w:val="FF0000"/>
          <w:sz w:val="28"/>
          <w:szCs w:val="28"/>
          <w:u w:val="single"/>
        </w:rPr>
        <w:lastRenderedPageBreak/>
        <w:t>NIVEAU 1 : filière dentaire</w:t>
      </w:r>
    </w:p>
    <w:p w:rsidR="002F1657" w:rsidRDefault="002F1657" w:rsidP="002F1657">
      <w:pPr>
        <w:jc w:val="center"/>
        <w:rPr>
          <w:color w:val="FF0000"/>
          <w:sz w:val="28"/>
          <w:szCs w:val="28"/>
          <w:u w:val="single"/>
        </w:rPr>
      </w:pPr>
      <w:r>
        <w:rPr>
          <w:noProof/>
          <w:lang w:eastAsia="fr-FR"/>
        </w:rPr>
        <w:drawing>
          <wp:anchor distT="0" distB="0" distL="114300" distR="114300" simplePos="0" relativeHeight="251664384" behindDoc="0" locked="0" layoutInCell="1" allowOverlap="1" wp14:anchorId="5DA70D78" wp14:editId="6CBC9E9D">
            <wp:simplePos x="0" y="0"/>
            <wp:positionH relativeFrom="column">
              <wp:posOffset>-76200</wp:posOffset>
            </wp:positionH>
            <wp:positionV relativeFrom="paragraph">
              <wp:posOffset>328295</wp:posOffset>
            </wp:positionV>
            <wp:extent cx="942975" cy="1256030"/>
            <wp:effectExtent l="0" t="0" r="9525" b="1270"/>
            <wp:wrapSquare wrapText="bothSides"/>
            <wp:docPr id="5" name="Image 5" descr="Description : C:\Users\Utilisateur\Desktop\supraclusie-compression-articulaire-scaled-225x3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C:\Users\Utilisateur\Desktop\supraclusie-compression-articulaire-scaled-225x300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1256030"/>
                    </a:xfrm>
                    <a:prstGeom prst="rect">
                      <a:avLst/>
                    </a:prstGeom>
                    <a:noFill/>
                  </pic:spPr>
                </pic:pic>
              </a:graphicData>
            </a:graphic>
            <wp14:sizeRelH relativeFrom="margin">
              <wp14:pctWidth>0</wp14:pctWidth>
            </wp14:sizeRelH>
            <wp14:sizeRelV relativeFrom="margin">
              <wp14:pctHeight>0</wp14:pctHeight>
            </wp14:sizeRelV>
          </wp:anchor>
        </w:drawing>
      </w:r>
    </w:p>
    <w:p w:rsidR="002F1657" w:rsidRDefault="002F1657" w:rsidP="002F1657">
      <w:pPr>
        <w:jc w:val="both"/>
        <w:rPr>
          <w:sz w:val="28"/>
          <w:szCs w:val="28"/>
        </w:rPr>
      </w:pPr>
      <w:r>
        <w:rPr>
          <w:sz w:val="28"/>
          <w:szCs w:val="28"/>
        </w:rPr>
        <w:t xml:space="preserve">Rappel anatomique : dent, articulation temporo-mandibulaire, trijumeau, les nerfs, classes 2 et 3 </w:t>
      </w:r>
    </w:p>
    <w:p w:rsidR="002F1657" w:rsidRDefault="002F1657" w:rsidP="002F1657">
      <w:pPr>
        <w:jc w:val="both"/>
        <w:rPr>
          <w:sz w:val="28"/>
          <w:szCs w:val="28"/>
        </w:rPr>
      </w:pPr>
      <w:r>
        <w:rPr>
          <w:sz w:val="28"/>
          <w:szCs w:val="28"/>
        </w:rPr>
        <w:t>L’implication de la bouche dans les dysfonctionnements du système proprioceptif et du SDP : importance dans la langue, la respiration, déglutition, la mastication</w:t>
      </w:r>
    </w:p>
    <w:p w:rsidR="002F1657" w:rsidRDefault="002F1657" w:rsidP="002F1657">
      <w:pPr>
        <w:jc w:val="both"/>
        <w:rPr>
          <w:sz w:val="28"/>
          <w:szCs w:val="28"/>
        </w:rPr>
      </w:pPr>
      <w:r>
        <w:rPr>
          <w:sz w:val="28"/>
          <w:szCs w:val="28"/>
        </w:rPr>
        <w:t>Bouche normale et  bouche pathologique : béances, centrage défaut d’occlusion (tests + traitement)</w:t>
      </w:r>
    </w:p>
    <w:p w:rsidR="002F1657" w:rsidRDefault="002F1657" w:rsidP="002F1657">
      <w:pPr>
        <w:jc w:val="both"/>
        <w:rPr>
          <w:sz w:val="28"/>
          <w:szCs w:val="28"/>
        </w:rPr>
      </w:pPr>
      <w:r>
        <w:rPr>
          <w:sz w:val="28"/>
          <w:szCs w:val="28"/>
        </w:rPr>
        <w:t xml:space="preserve">Troubles de l’appareil </w:t>
      </w:r>
      <w:proofErr w:type="spellStart"/>
      <w:r>
        <w:rPr>
          <w:sz w:val="28"/>
          <w:szCs w:val="28"/>
        </w:rPr>
        <w:t>manducateur</w:t>
      </w:r>
      <w:proofErr w:type="spellEnd"/>
      <w:r>
        <w:rPr>
          <w:sz w:val="28"/>
          <w:szCs w:val="28"/>
        </w:rPr>
        <w:t> : signes cliniques et douloureux, serrement des dents, symétrie,  + tests proprioceptifs en lien avec la bouche : les différents traitements envisageables en fonction de la pathologie</w:t>
      </w:r>
    </w:p>
    <w:p w:rsidR="002F1657" w:rsidRDefault="002F1657" w:rsidP="002F1657">
      <w:pPr>
        <w:jc w:val="both"/>
        <w:rPr>
          <w:sz w:val="28"/>
          <w:szCs w:val="28"/>
        </w:rPr>
      </w:pPr>
      <w:r>
        <w:rPr>
          <w:sz w:val="28"/>
          <w:szCs w:val="28"/>
          <w:u w:val="single"/>
        </w:rPr>
        <w:t>Dans la pratique</w:t>
      </w:r>
      <w:r>
        <w:rPr>
          <w:sz w:val="28"/>
          <w:szCs w:val="28"/>
        </w:rPr>
        <w:t xml:space="preserve"> : différents tests spécifiques seront proposés : rotation cervicale, ouverture buccale, </w:t>
      </w:r>
      <w:proofErr w:type="spellStart"/>
      <w:r>
        <w:rPr>
          <w:sz w:val="28"/>
          <w:szCs w:val="28"/>
        </w:rPr>
        <w:t>romberg</w:t>
      </w:r>
      <w:proofErr w:type="spellEnd"/>
      <w:r>
        <w:rPr>
          <w:sz w:val="28"/>
          <w:szCs w:val="28"/>
        </w:rPr>
        <w:t>… en fonction de cette spécialité.</w:t>
      </w:r>
    </w:p>
    <w:p w:rsidR="002F1657" w:rsidRDefault="002F1657" w:rsidP="002F1657">
      <w:pPr>
        <w:jc w:val="both"/>
        <w:rPr>
          <w:sz w:val="28"/>
          <w:szCs w:val="28"/>
        </w:rPr>
      </w:pPr>
      <w:r>
        <w:rPr>
          <w:noProof/>
          <w:lang w:eastAsia="fr-FR"/>
        </w:rPr>
        <w:drawing>
          <wp:anchor distT="0" distB="0" distL="114300" distR="114300" simplePos="0" relativeHeight="251665408" behindDoc="0" locked="0" layoutInCell="1" allowOverlap="1" wp14:anchorId="1B1DEE10" wp14:editId="6642AD8F">
            <wp:simplePos x="0" y="0"/>
            <wp:positionH relativeFrom="column">
              <wp:posOffset>-76200</wp:posOffset>
            </wp:positionH>
            <wp:positionV relativeFrom="paragraph">
              <wp:posOffset>360045</wp:posOffset>
            </wp:positionV>
            <wp:extent cx="1295400" cy="1256030"/>
            <wp:effectExtent l="0" t="0" r="0" b="1270"/>
            <wp:wrapSquare wrapText="bothSides"/>
            <wp:docPr id="6" name="Image 8" descr="Description : C:\Users\Utilisateur\Desktop\Goutti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scription : C:\Users\Utilisateur\Desktop\Gouttie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256030"/>
                    </a:xfrm>
                    <a:prstGeom prst="rect">
                      <a:avLst/>
                    </a:prstGeom>
                    <a:noFill/>
                  </pic:spPr>
                </pic:pic>
              </a:graphicData>
            </a:graphic>
            <wp14:sizeRelH relativeFrom="margin">
              <wp14:pctWidth>0</wp14:pctWidth>
            </wp14:sizeRelH>
            <wp14:sizeRelV relativeFrom="margin">
              <wp14:pctHeight>0</wp14:pctHeight>
            </wp14:sizeRelV>
          </wp:anchor>
        </w:drawing>
      </w:r>
      <w:r>
        <w:rPr>
          <w:b/>
          <w:sz w:val="28"/>
          <w:szCs w:val="28"/>
          <w:u w:val="single"/>
        </w:rPr>
        <w:t>PRISE EN CHARGE</w:t>
      </w:r>
    </w:p>
    <w:p w:rsidR="002F1657" w:rsidRDefault="002F1657" w:rsidP="002F1657">
      <w:pPr>
        <w:tabs>
          <w:tab w:val="left" w:pos="7080"/>
        </w:tabs>
        <w:jc w:val="both"/>
        <w:rPr>
          <w:sz w:val="28"/>
          <w:szCs w:val="28"/>
        </w:rPr>
      </w:pPr>
      <w:r>
        <w:rPr>
          <w:sz w:val="28"/>
          <w:szCs w:val="28"/>
        </w:rPr>
        <w:t>Rééducation fonctionnelle, Gouttières, ALPH, Semelles…</w:t>
      </w:r>
    </w:p>
    <w:p w:rsidR="002F1657" w:rsidRDefault="002F1657" w:rsidP="002F1657">
      <w:pPr>
        <w:jc w:val="both"/>
        <w:rPr>
          <w:sz w:val="28"/>
          <w:szCs w:val="28"/>
        </w:rPr>
      </w:pPr>
    </w:p>
    <w:p w:rsidR="002F1657" w:rsidRDefault="002F1657" w:rsidP="002F1657">
      <w:pPr>
        <w:jc w:val="both"/>
        <w:rPr>
          <w:sz w:val="28"/>
          <w:szCs w:val="28"/>
        </w:rPr>
      </w:pPr>
      <w:r>
        <w:rPr>
          <w:b/>
          <w:sz w:val="28"/>
          <w:szCs w:val="28"/>
        </w:rPr>
        <w:t>Obstacles au traitement</w:t>
      </w:r>
      <w:r>
        <w:rPr>
          <w:sz w:val="28"/>
          <w:szCs w:val="28"/>
        </w:rPr>
        <w:t> : cicatrices, émotion, blocage ostéo, asymétrie, reflexes archaïques non maturés, points gâchettes</w:t>
      </w: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keepNext/>
        <w:tabs>
          <w:tab w:val="num" w:pos="432"/>
        </w:tabs>
        <w:suppressAutoHyphens/>
        <w:spacing w:after="0" w:line="240" w:lineRule="auto"/>
        <w:ind w:left="432" w:hanging="432"/>
        <w:jc w:val="center"/>
        <w:outlineLvl w:val="0"/>
        <w:rPr>
          <w:rFonts w:ascii="Arial" w:eastAsia="Times New Roman" w:hAnsi="Arial" w:cs="Arial"/>
          <w:color w:val="808000"/>
          <w:sz w:val="28"/>
          <w:szCs w:val="24"/>
          <w:lang w:eastAsia="ar-SA"/>
        </w:rPr>
      </w:pPr>
      <w:r>
        <w:rPr>
          <w:rFonts w:ascii="Arial" w:eastAsia="Times New Roman" w:hAnsi="Arial" w:cs="Arial"/>
          <w:b/>
          <w:bCs/>
          <w:color w:val="808000"/>
          <w:sz w:val="28"/>
          <w:szCs w:val="24"/>
          <w:lang w:eastAsia="ar-SA"/>
        </w:rPr>
        <w:lastRenderedPageBreak/>
        <w:t>JOURNEES DE POSTUROLOGIE PRATIQUE NIVEAU 1</w:t>
      </w:r>
    </w:p>
    <w:p w:rsidR="002F1657" w:rsidRDefault="002F1657" w:rsidP="002F1657">
      <w:pPr>
        <w:suppressAutoHyphens/>
        <w:spacing w:after="0" w:line="240" w:lineRule="auto"/>
        <w:ind w:left="-540"/>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noProof/>
          <w:lang w:eastAsia="fr-FR"/>
        </w:rPr>
        <w:drawing>
          <wp:anchor distT="0" distB="0" distL="114935" distR="114935" simplePos="0" relativeHeight="251659264" behindDoc="0" locked="0" layoutInCell="1" allowOverlap="1" wp14:anchorId="2709274F" wp14:editId="2535CBCE">
            <wp:simplePos x="0" y="0"/>
            <wp:positionH relativeFrom="column">
              <wp:posOffset>4800600</wp:posOffset>
            </wp:positionH>
            <wp:positionV relativeFrom="paragraph">
              <wp:posOffset>11430</wp:posOffset>
            </wp:positionV>
            <wp:extent cx="834390" cy="805180"/>
            <wp:effectExtent l="0" t="0" r="3810" b="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4390" cy="8051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ar-SA"/>
        </w:rPr>
        <w:t>Organisée par l’Association des Pratiques Alternatives de Santé</w:t>
      </w: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N°RNA W691091859</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Association agréée par l’ORS Auvergne-Rhône-Alpes</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Tel. 04.78.95.09.15, Mail : </w:t>
      </w:r>
      <w:hyperlink r:id="rId13" w:history="1">
        <w:r>
          <w:rPr>
            <w:rStyle w:val="Lienhypertexte"/>
            <w:rFonts w:ascii="Arial" w:eastAsia="Times New Roman" w:hAnsi="Arial" w:cs="Arial"/>
            <w:sz w:val="24"/>
            <w:szCs w:val="24"/>
            <w:lang w:eastAsia="ar-SA"/>
          </w:rPr>
          <w:t>passer253@gmail.com</w:t>
        </w:r>
      </w:hyperlink>
      <w:r>
        <w:rPr>
          <w:rFonts w:ascii="Arial" w:eastAsia="Times New Roman" w:hAnsi="Arial" w:cs="Arial"/>
          <w:sz w:val="24"/>
          <w:szCs w:val="24"/>
          <w:lang w:eastAsia="ar-SA"/>
        </w:rPr>
        <w:t xml:space="preserve"> </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Aide logistique : Société Wilson </w:t>
      </w:r>
      <w:proofErr w:type="spellStart"/>
      <w:r>
        <w:rPr>
          <w:rFonts w:ascii="Arial" w:eastAsia="Times New Roman" w:hAnsi="Arial" w:cs="Arial"/>
          <w:sz w:val="24"/>
          <w:szCs w:val="24"/>
          <w:lang w:eastAsia="ar-SA"/>
        </w:rPr>
        <w:t>Medical</w:t>
      </w:r>
      <w:proofErr w:type="spellEnd"/>
      <w:r>
        <w:rPr>
          <w:rFonts w:ascii="Arial" w:eastAsia="Times New Roman" w:hAnsi="Arial" w:cs="Arial"/>
          <w:sz w:val="24"/>
          <w:szCs w:val="24"/>
          <w:lang w:eastAsia="ar-SA"/>
        </w:rPr>
        <w:t xml:space="preserve"> SARL (Mme ROS Joséphine)</w:t>
      </w: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r>
        <w:rPr>
          <w:rFonts w:ascii="Arial" w:eastAsia="Times New Roman" w:hAnsi="Arial" w:cs="Arial"/>
          <w:b/>
          <w:bCs/>
          <w:color w:val="808000"/>
          <w:sz w:val="24"/>
          <w:szCs w:val="24"/>
          <w:lang w:eastAsia="ar-SA"/>
        </w:rPr>
        <w:t>A Lyon (69)</w:t>
      </w: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r>
        <w:rPr>
          <w:rFonts w:ascii="Arial" w:eastAsia="Times New Roman" w:hAnsi="Arial" w:cs="Arial"/>
          <w:b/>
          <w:bCs/>
          <w:color w:val="808000"/>
          <w:sz w:val="24"/>
          <w:szCs w:val="24"/>
          <w:lang w:eastAsia="ar-SA"/>
        </w:rPr>
        <w:t xml:space="preserve">Dimanche </w:t>
      </w:r>
      <w:r>
        <w:rPr>
          <w:rFonts w:ascii="Arial" w:eastAsia="Times New Roman" w:hAnsi="Arial" w:cs="Arial"/>
          <w:b/>
          <w:bCs/>
          <w:color w:val="808000"/>
          <w:sz w:val="24"/>
          <w:szCs w:val="24"/>
          <w:lang w:eastAsia="ar-SA"/>
        </w:rPr>
        <w:t>14</w:t>
      </w:r>
      <w:r>
        <w:rPr>
          <w:rFonts w:ascii="Arial" w:eastAsia="Times New Roman" w:hAnsi="Arial" w:cs="Arial"/>
          <w:b/>
          <w:bCs/>
          <w:color w:val="808000"/>
          <w:sz w:val="24"/>
          <w:szCs w:val="24"/>
          <w:lang w:eastAsia="ar-SA"/>
        </w:rPr>
        <w:t xml:space="preserve"> et Lundi </w:t>
      </w:r>
      <w:r>
        <w:rPr>
          <w:rFonts w:ascii="Arial" w:eastAsia="Times New Roman" w:hAnsi="Arial" w:cs="Arial"/>
          <w:b/>
          <w:bCs/>
          <w:color w:val="808000"/>
          <w:sz w:val="24"/>
          <w:szCs w:val="24"/>
          <w:lang w:eastAsia="ar-SA"/>
        </w:rPr>
        <w:t xml:space="preserve">15 </w:t>
      </w:r>
      <w:r>
        <w:rPr>
          <w:rFonts w:ascii="Arial" w:eastAsia="Times New Roman" w:hAnsi="Arial" w:cs="Arial"/>
          <w:b/>
          <w:bCs/>
          <w:color w:val="808000"/>
          <w:sz w:val="24"/>
          <w:szCs w:val="24"/>
          <w:lang w:eastAsia="ar-SA"/>
        </w:rPr>
        <w:t xml:space="preserve"> </w:t>
      </w:r>
      <w:r>
        <w:rPr>
          <w:rFonts w:ascii="Arial" w:eastAsia="Times New Roman" w:hAnsi="Arial" w:cs="Arial"/>
          <w:b/>
          <w:bCs/>
          <w:color w:val="808000"/>
          <w:sz w:val="24"/>
          <w:szCs w:val="24"/>
          <w:lang w:eastAsia="ar-SA"/>
        </w:rPr>
        <w:t>juin</w:t>
      </w:r>
      <w:r>
        <w:rPr>
          <w:rFonts w:ascii="Arial" w:eastAsia="Times New Roman" w:hAnsi="Arial" w:cs="Arial"/>
          <w:b/>
          <w:bCs/>
          <w:color w:val="808000"/>
          <w:sz w:val="24"/>
          <w:szCs w:val="24"/>
          <w:lang w:eastAsia="ar-SA"/>
        </w:rPr>
        <w:t xml:space="preserve"> 2026</w:t>
      </w:r>
    </w:p>
    <w:p w:rsidR="002F1657" w:rsidRDefault="002F1657" w:rsidP="002F1657">
      <w:pPr>
        <w:keepNext/>
        <w:suppressAutoHyphens/>
        <w:spacing w:after="0" w:line="240" w:lineRule="auto"/>
        <w:outlineLvl w:val="1"/>
        <w:rPr>
          <w:rFonts w:ascii="Arial" w:eastAsia="Times New Roman" w:hAnsi="Arial" w:cs="Arial"/>
          <w:b/>
          <w:bCs/>
          <w:color w:val="808000"/>
          <w:sz w:val="24"/>
          <w:szCs w:val="24"/>
          <w:lang w:eastAsia="ar-SA"/>
        </w:rPr>
      </w:pPr>
    </w:p>
    <w:p w:rsidR="002F1657" w:rsidRDefault="002F1657" w:rsidP="002F1657">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Dimanche</w:t>
      </w:r>
      <w:r>
        <w:rPr>
          <w:rFonts w:ascii="Times New Roman" w:eastAsia="Times New Roman" w:hAnsi="Times New Roman"/>
          <w:sz w:val="28"/>
          <w:szCs w:val="28"/>
          <w:lang w:eastAsia="ar-SA"/>
        </w:rPr>
        <w:t> : accueil des participants à 8h30</w:t>
      </w:r>
      <w:r>
        <w:rPr>
          <w:rFonts w:ascii="Times New Roman" w:eastAsia="Times New Roman" w:hAnsi="Times New Roman"/>
          <w:sz w:val="28"/>
          <w:szCs w:val="28"/>
          <w:lang w:eastAsia="ar-SA"/>
        </w:rPr>
        <w:t>, cours à 9h – 9h/12h30 et 14h00</w:t>
      </w:r>
      <w:r>
        <w:rPr>
          <w:rFonts w:ascii="Times New Roman" w:eastAsia="Times New Roman" w:hAnsi="Times New Roman"/>
          <w:sz w:val="28"/>
          <w:szCs w:val="28"/>
          <w:lang w:eastAsia="ar-SA"/>
        </w:rPr>
        <w:t>/18h</w:t>
      </w:r>
    </w:p>
    <w:p w:rsidR="002F1657" w:rsidRDefault="002F1657" w:rsidP="002F1657">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Lundi</w:t>
      </w:r>
      <w:r>
        <w:rPr>
          <w:rFonts w:ascii="Times New Roman" w:eastAsia="Times New Roman" w:hAnsi="Times New Roman"/>
          <w:sz w:val="28"/>
          <w:szCs w:val="28"/>
          <w:lang w:eastAsia="ar-SA"/>
        </w:rPr>
        <w:t> : accueil des participants à 8h30</w:t>
      </w:r>
      <w:r>
        <w:rPr>
          <w:rFonts w:ascii="Times New Roman" w:eastAsia="Times New Roman" w:hAnsi="Times New Roman"/>
          <w:sz w:val="28"/>
          <w:szCs w:val="28"/>
          <w:lang w:eastAsia="ar-SA"/>
        </w:rPr>
        <w:t>, cours à 9h – 9h/12h30 et 14h00</w:t>
      </w:r>
      <w:r>
        <w:rPr>
          <w:rFonts w:ascii="Times New Roman" w:eastAsia="Times New Roman" w:hAnsi="Times New Roman"/>
          <w:sz w:val="28"/>
          <w:szCs w:val="28"/>
          <w:lang w:eastAsia="ar-SA"/>
        </w:rPr>
        <w:t>/18h</w:t>
      </w:r>
    </w:p>
    <w:p w:rsidR="002F1657" w:rsidRDefault="002F1657" w:rsidP="002F1657">
      <w:pPr>
        <w:suppressAutoHyphens/>
        <w:spacing w:after="0" w:line="240" w:lineRule="auto"/>
        <w:rPr>
          <w:rFonts w:ascii="Times New Roman" w:eastAsia="Times New Roman" w:hAnsi="Times New Roman"/>
          <w:b/>
          <w:sz w:val="24"/>
          <w:szCs w:val="24"/>
          <w:u w:val="single"/>
          <w:lang w:eastAsia="ar-SA"/>
        </w:rPr>
      </w:pPr>
      <w:r>
        <w:rPr>
          <w:rFonts w:ascii="Times New Roman" w:eastAsia="Times New Roman" w:hAnsi="Times New Roman"/>
          <w:b/>
          <w:sz w:val="28"/>
          <w:szCs w:val="28"/>
          <w:u w:val="single"/>
          <w:lang w:eastAsia="ar-SA"/>
        </w:rPr>
        <w:t>Les repas ne sont pas inclus</w:t>
      </w:r>
      <w:r>
        <w:rPr>
          <w:rFonts w:ascii="Times New Roman" w:eastAsia="Times New Roman" w:hAnsi="Times New Roman"/>
          <w:b/>
          <w:sz w:val="24"/>
          <w:szCs w:val="24"/>
          <w:u w:val="single"/>
          <w:lang w:eastAsia="ar-SA"/>
        </w:rPr>
        <w:t xml:space="preserve"> </w:t>
      </w:r>
    </w:p>
    <w:p w:rsidR="002F1657" w:rsidRDefault="002F1657" w:rsidP="002F1657">
      <w:pPr>
        <w:keepNext/>
        <w:suppressAutoHyphens/>
        <w:spacing w:after="0" w:line="240" w:lineRule="auto"/>
        <w:outlineLvl w:val="4"/>
        <w:rPr>
          <w:rFonts w:ascii="Times New Roman" w:eastAsia="Times New Roman" w:hAnsi="Times New Roman"/>
          <w:sz w:val="24"/>
          <w:szCs w:val="24"/>
          <w:lang w:eastAsia="ar-SA"/>
        </w:rPr>
      </w:pPr>
    </w:p>
    <w:p w:rsidR="002F1657" w:rsidRDefault="002F1657" w:rsidP="002F1657">
      <w:pPr>
        <w:keepNext/>
        <w:suppressAutoHyphens/>
        <w:spacing w:after="0" w:line="240" w:lineRule="auto"/>
        <w:outlineLvl w:val="4"/>
        <w:rPr>
          <w:rFonts w:ascii="Arial" w:eastAsia="Times New Roman" w:hAnsi="Arial" w:cs="Arial"/>
          <w:b/>
          <w:bCs/>
          <w:sz w:val="28"/>
          <w:szCs w:val="28"/>
          <w:lang w:eastAsia="ar-SA"/>
        </w:rPr>
      </w:pPr>
      <w:r>
        <w:rPr>
          <w:rFonts w:ascii="Times New Roman" w:eastAsia="Times New Roman" w:hAnsi="Times New Roman"/>
          <w:b/>
          <w:sz w:val="28"/>
          <w:szCs w:val="28"/>
          <w:lang w:eastAsia="ar-SA"/>
        </w:rPr>
        <w:t>Lieu de formation</w:t>
      </w:r>
      <w:r>
        <w:rPr>
          <w:rFonts w:ascii="Times New Roman" w:eastAsia="Times New Roman" w:hAnsi="Times New Roman"/>
          <w:sz w:val="28"/>
          <w:szCs w:val="28"/>
          <w:lang w:eastAsia="ar-SA"/>
        </w:rPr>
        <w:t xml:space="preserve"> : Lyon : A </w:t>
      </w:r>
      <w:proofErr w:type="gramStart"/>
      <w:r>
        <w:rPr>
          <w:rFonts w:ascii="Times New Roman" w:eastAsia="Times New Roman" w:hAnsi="Times New Roman"/>
          <w:sz w:val="28"/>
          <w:szCs w:val="28"/>
          <w:lang w:eastAsia="ar-SA"/>
        </w:rPr>
        <w:t>déterminer</w:t>
      </w:r>
      <w:proofErr w:type="gramEnd"/>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r>
        <w:rPr>
          <w:rFonts w:ascii="Arial" w:eastAsia="Times New Roman" w:hAnsi="Arial" w:cs="Arial"/>
          <w:b/>
          <w:bCs/>
          <w:szCs w:val="24"/>
          <w:lang w:eastAsia="ar-SA"/>
        </w:rPr>
        <w:t>Bulletin d’Inscription</w:t>
      </w:r>
    </w:p>
    <w:p w:rsidR="002F1657" w:rsidRDefault="002F1657" w:rsidP="002F1657">
      <w:pPr>
        <w:suppressAutoHyphens/>
        <w:spacing w:after="0" w:line="240" w:lineRule="auto"/>
        <w:rPr>
          <w:rFonts w:ascii="Arial" w:eastAsia="Times New Roman" w:hAnsi="Arial" w:cs="Arial"/>
          <w:szCs w:val="24"/>
          <w:lang w:eastAsia="ar-SA"/>
        </w:rPr>
      </w:pP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color w:val="808000"/>
          <w:sz w:val="24"/>
          <w:szCs w:val="24"/>
          <w:lang w:eastAsia="ar-SA"/>
        </w:rPr>
      </w:pPr>
      <w:r>
        <w:rPr>
          <w:rFonts w:ascii="Arial" w:eastAsia="Times New Roman" w:hAnsi="Arial" w:cs="Arial"/>
          <w:color w:val="808000"/>
          <w:sz w:val="24"/>
          <w:szCs w:val="24"/>
          <w:lang w:eastAsia="ar-SA"/>
        </w:rPr>
        <w:t>JPP Niveau 1 à Lyon (69)</w:t>
      </w: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r>
        <w:rPr>
          <w:rFonts w:ascii="Arial" w:eastAsia="Times New Roman" w:hAnsi="Arial" w:cs="Arial"/>
          <w:color w:val="808000"/>
          <w:sz w:val="24"/>
          <w:szCs w:val="24"/>
          <w:lang w:eastAsia="ar-SA"/>
        </w:rPr>
        <w:t xml:space="preserve">Dimanche </w:t>
      </w:r>
      <w:r>
        <w:rPr>
          <w:rFonts w:ascii="Arial" w:eastAsia="Times New Roman" w:hAnsi="Arial" w:cs="Arial"/>
          <w:color w:val="808000"/>
          <w:sz w:val="24"/>
          <w:szCs w:val="24"/>
          <w:lang w:eastAsia="ar-SA"/>
        </w:rPr>
        <w:t>14</w:t>
      </w:r>
      <w:r>
        <w:rPr>
          <w:rFonts w:ascii="Arial" w:eastAsia="Times New Roman" w:hAnsi="Arial" w:cs="Arial"/>
          <w:color w:val="808000"/>
          <w:sz w:val="24"/>
          <w:szCs w:val="24"/>
          <w:lang w:eastAsia="ar-SA"/>
        </w:rPr>
        <w:t xml:space="preserve"> et Lundi </w:t>
      </w:r>
      <w:r>
        <w:rPr>
          <w:rFonts w:ascii="Arial" w:eastAsia="Times New Roman" w:hAnsi="Arial" w:cs="Arial"/>
          <w:color w:val="808000"/>
          <w:sz w:val="24"/>
          <w:szCs w:val="24"/>
          <w:lang w:eastAsia="ar-SA"/>
        </w:rPr>
        <w:t>15</w:t>
      </w:r>
      <w:r>
        <w:rPr>
          <w:rFonts w:ascii="Arial" w:eastAsia="Times New Roman" w:hAnsi="Arial" w:cs="Arial"/>
          <w:color w:val="808000"/>
          <w:sz w:val="24"/>
          <w:szCs w:val="24"/>
          <w:lang w:eastAsia="ar-SA"/>
        </w:rPr>
        <w:t xml:space="preserve"> </w:t>
      </w:r>
      <w:r>
        <w:rPr>
          <w:rFonts w:ascii="Arial" w:eastAsia="Times New Roman" w:hAnsi="Arial" w:cs="Arial"/>
          <w:color w:val="808000"/>
          <w:sz w:val="24"/>
          <w:szCs w:val="24"/>
          <w:lang w:eastAsia="ar-SA"/>
        </w:rPr>
        <w:t>juin</w:t>
      </w:r>
      <w:r>
        <w:rPr>
          <w:rFonts w:ascii="Arial" w:eastAsia="Times New Roman" w:hAnsi="Arial" w:cs="Arial"/>
          <w:color w:val="808000"/>
          <w:sz w:val="24"/>
          <w:szCs w:val="24"/>
          <w:lang w:eastAsia="ar-SA"/>
        </w:rPr>
        <w:t xml:space="preserve"> 2026</w:t>
      </w:r>
    </w:p>
    <w:p w:rsidR="002F1657" w:rsidRDefault="002F1657" w:rsidP="002F1657">
      <w:pPr>
        <w:suppressAutoHyphens/>
        <w:spacing w:after="0" w:line="240" w:lineRule="auto"/>
        <w:jc w:val="center"/>
        <w:rPr>
          <w:rFonts w:ascii="Arial" w:eastAsia="Times New Roman" w:hAnsi="Arial" w:cs="Arial"/>
          <w:szCs w:val="24"/>
          <w:lang w:eastAsia="ar-SA"/>
        </w:rPr>
      </w:pPr>
      <w:r>
        <w:rPr>
          <w:rFonts w:ascii="Arial" w:eastAsia="Times New Roman" w:hAnsi="Arial" w:cs="Arial"/>
          <w:szCs w:val="24"/>
          <w:lang w:eastAsia="ar-SA"/>
        </w:rPr>
        <w:t xml:space="preserve">A retourner à Association PASSER 3 Rue </w:t>
      </w:r>
      <w:proofErr w:type="spellStart"/>
      <w:r>
        <w:rPr>
          <w:rFonts w:ascii="Arial" w:eastAsia="Times New Roman" w:hAnsi="Arial" w:cs="Arial"/>
          <w:szCs w:val="24"/>
          <w:lang w:eastAsia="ar-SA"/>
        </w:rPr>
        <w:t>Servient</w:t>
      </w:r>
      <w:proofErr w:type="spellEnd"/>
      <w:r>
        <w:rPr>
          <w:rFonts w:ascii="Arial" w:eastAsia="Times New Roman" w:hAnsi="Arial" w:cs="Arial"/>
          <w:szCs w:val="24"/>
          <w:lang w:eastAsia="ar-SA"/>
        </w:rPr>
        <w:t xml:space="preserve"> 69003 Lyon</w:t>
      </w:r>
    </w:p>
    <w:p w:rsidR="002F1657" w:rsidRDefault="002F1657" w:rsidP="002F1657">
      <w:pPr>
        <w:suppressAutoHyphens/>
        <w:spacing w:after="0" w:line="240" w:lineRule="auto"/>
        <w:rPr>
          <w:rFonts w:ascii="Arial" w:eastAsia="Times New Roman" w:hAnsi="Arial" w:cs="Arial"/>
          <w:szCs w:val="24"/>
          <w:lang w:eastAsia="ar-SA"/>
        </w:rPr>
      </w:pP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Nom &amp; Prénom……………………………………..Profession…………………………………..</w:t>
      </w: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Adresse Professionnelle……………………………………………………………………………</w:t>
      </w: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Téléphone…………………………………………..Email………………………………………….</w:t>
      </w:r>
    </w:p>
    <w:p w:rsidR="002F1657" w:rsidRDefault="002F1657" w:rsidP="002F1657">
      <w:pPr>
        <w:suppressAutoHyphens/>
        <w:spacing w:after="0" w:line="240" w:lineRule="auto"/>
        <w:rPr>
          <w:rFonts w:ascii="Arial" w:eastAsia="Times New Roman" w:hAnsi="Arial" w:cs="Arial"/>
          <w:szCs w:val="24"/>
          <w:lang w:eastAsia="ar-SA"/>
        </w:rPr>
      </w:pP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Je m’inscris à la formation pour les deux jours, soit 550.00 euros (dont 50.00 euros de cotisation adhérent par année civile). A verser :</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numPr>
          <w:ilvl w:val="0"/>
          <w:numId w:val="3"/>
        </w:numPr>
        <w:suppressAutoHyphens/>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ar-SA"/>
        </w:rPr>
        <w:t xml:space="preserve">par virement (en indiquant un nom) : </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ar-SA"/>
        </w:rPr>
        <w:t>IBAN FR76 1680 7004 0062 7214 1821 843</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BIC CCBPFRPPGRE</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Code Banque 16807</w:t>
      </w:r>
      <w:r>
        <w:rPr>
          <w:rFonts w:ascii="Arial" w:eastAsia="Times New Roman" w:hAnsi="Arial" w:cs="Arial"/>
          <w:sz w:val="24"/>
          <w:szCs w:val="24"/>
          <w:lang w:eastAsia="ar-SA"/>
        </w:rPr>
        <w:tab/>
        <w:t>Code guichet 00400</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N° compte 62721418218</w:t>
      </w:r>
      <w:r>
        <w:rPr>
          <w:rFonts w:ascii="Arial" w:eastAsia="Times New Roman" w:hAnsi="Arial" w:cs="Arial"/>
          <w:sz w:val="24"/>
          <w:szCs w:val="24"/>
          <w:lang w:eastAsia="ar-SA"/>
        </w:rPr>
        <w:tab/>
        <w:t>Clé RIB 43</w:t>
      </w:r>
    </w:p>
    <w:p w:rsidR="002F1657" w:rsidRDefault="002F1657" w:rsidP="002F1657">
      <w:pPr>
        <w:suppressAutoHyphens/>
        <w:spacing w:after="0" w:line="240" w:lineRule="auto"/>
        <w:ind w:left="708"/>
        <w:jc w:val="both"/>
        <w:rPr>
          <w:rFonts w:ascii="Arial" w:eastAsia="Times New Roman" w:hAnsi="Arial" w:cs="Arial"/>
          <w:sz w:val="24"/>
          <w:szCs w:val="24"/>
          <w:lang w:eastAsia="ar-SA"/>
        </w:rPr>
      </w:pPr>
    </w:p>
    <w:p w:rsidR="002F1657" w:rsidRDefault="002F1657" w:rsidP="002F1657">
      <w:pPr>
        <w:suppressAutoHyphens/>
        <w:spacing w:after="0" w:line="240" w:lineRule="auto"/>
        <w:ind w:left="1812"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Domiciliation BPAURA LYON PART-DIIEU </w:t>
      </w: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tabs>
          <w:tab w:val="center" w:pos="4536"/>
          <w:tab w:val="right" w:pos="9072"/>
        </w:tabs>
        <w:suppressAutoHyphens/>
        <w:spacing w:after="0" w:line="240" w:lineRule="auto"/>
        <w:jc w:val="center"/>
        <w:rPr>
          <w:rFonts w:ascii="Arial" w:eastAsia="Times New Roman" w:hAnsi="Arial" w:cs="Arial"/>
          <w:i/>
          <w:sz w:val="18"/>
          <w:szCs w:val="18"/>
          <w:lang w:eastAsia="ar-SA"/>
        </w:rPr>
      </w:pPr>
      <w:r>
        <w:rPr>
          <w:rFonts w:ascii="Arial" w:eastAsia="Times New Roman" w:hAnsi="Arial" w:cs="Arial"/>
          <w:i/>
          <w:sz w:val="18"/>
          <w:szCs w:val="18"/>
          <w:lang w:eastAsia="ar-SA"/>
        </w:rPr>
        <w:t>Association Pratiques Alternatives de Santé : Soins-Enseignement-Recherche</w:t>
      </w:r>
    </w:p>
    <w:p w:rsidR="005711DB" w:rsidRPr="002F1657" w:rsidRDefault="002F1657" w:rsidP="002F1657">
      <w:pPr>
        <w:tabs>
          <w:tab w:val="center" w:pos="4536"/>
          <w:tab w:val="right" w:pos="9072"/>
        </w:tabs>
        <w:suppressAutoHyphens/>
        <w:spacing w:after="0" w:line="240" w:lineRule="auto"/>
        <w:jc w:val="center"/>
        <w:rPr>
          <w:rFonts w:ascii="Times New Roman" w:eastAsia="Times New Roman" w:hAnsi="Times New Roman"/>
          <w:i/>
          <w:sz w:val="18"/>
          <w:szCs w:val="18"/>
          <w:lang w:eastAsia="ar-SA"/>
        </w:rPr>
      </w:pPr>
      <w:r>
        <w:rPr>
          <w:rFonts w:ascii="Arial" w:eastAsia="Times New Roman" w:hAnsi="Arial" w:cs="Arial"/>
          <w:i/>
          <w:sz w:val="18"/>
          <w:szCs w:val="18"/>
          <w:lang w:eastAsia="ar-SA"/>
        </w:rPr>
        <w:t xml:space="preserve">3 rue </w:t>
      </w:r>
      <w:proofErr w:type="spellStart"/>
      <w:r>
        <w:rPr>
          <w:rFonts w:ascii="Arial" w:eastAsia="Times New Roman" w:hAnsi="Arial" w:cs="Arial"/>
          <w:i/>
          <w:sz w:val="18"/>
          <w:szCs w:val="18"/>
          <w:lang w:eastAsia="ar-SA"/>
        </w:rPr>
        <w:t>Servient</w:t>
      </w:r>
      <w:proofErr w:type="spellEnd"/>
      <w:r>
        <w:rPr>
          <w:rFonts w:ascii="Arial" w:eastAsia="Times New Roman" w:hAnsi="Arial" w:cs="Arial"/>
          <w:i/>
          <w:sz w:val="18"/>
          <w:szCs w:val="18"/>
          <w:lang w:eastAsia="ar-SA"/>
        </w:rPr>
        <w:t xml:space="preserve"> 69003 Lyon –Tel 0478950915 – Fax 0472610774 – passer253@gmail.com</w:t>
      </w:r>
    </w:p>
    <w:sectPr w:rsidR="005711DB" w:rsidRPr="002F1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5E54CA"/>
    <w:multiLevelType w:val="hybridMultilevel"/>
    <w:tmpl w:val="AA260572"/>
    <w:lvl w:ilvl="0" w:tplc="0098008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6601C99"/>
    <w:multiLevelType w:val="hybridMultilevel"/>
    <w:tmpl w:val="0B04DDF2"/>
    <w:lvl w:ilvl="0" w:tplc="79E6EB0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57"/>
    <w:rsid w:val="00100419"/>
    <w:rsid w:val="0024173C"/>
    <w:rsid w:val="002F16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1657"/>
    <w:pPr>
      <w:ind w:left="720"/>
      <w:contextualSpacing/>
    </w:pPr>
  </w:style>
  <w:style w:type="character" w:styleId="Lienhypertexte">
    <w:name w:val="Hyperlink"/>
    <w:basedOn w:val="Policepardfaut"/>
    <w:uiPriority w:val="99"/>
    <w:semiHidden/>
    <w:unhideWhenUsed/>
    <w:rsid w:val="002F16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1657"/>
    <w:pPr>
      <w:ind w:left="720"/>
      <w:contextualSpacing/>
    </w:pPr>
  </w:style>
  <w:style w:type="character" w:styleId="Lienhypertexte">
    <w:name w:val="Hyperlink"/>
    <w:basedOn w:val="Policepardfaut"/>
    <w:uiPriority w:val="99"/>
    <w:semiHidden/>
    <w:unhideWhenUsed/>
    <w:rsid w:val="002F1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asser253@gmail.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939</Words>
  <Characters>5167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2026-03-17T11:22:00Z</dcterms:created>
  <dcterms:modified xsi:type="dcterms:W3CDTF">2026-03-17T11:29:00Z</dcterms:modified>
</cp:coreProperties>
</file>